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BA" w:rsidRPr="008D23F4" w:rsidRDefault="00497FBA" w:rsidP="008E114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 temelju članka </w:t>
      </w:r>
      <w:r w:rsidR="008E114A" w:rsidRPr="008D23F4">
        <w:rPr>
          <w:rFonts w:ascii="Verdana" w:hAnsi="Verdana"/>
          <w:sz w:val="20"/>
          <w:szCs w:val="20"/>
        </w:rPr>
        <w:t>46</w:t>
      </w:r>
      <w:r w:rsidRPr="008D23F4">
        <w:rPr>
          <w:rFonts w:ascii="Verdana" w:hAnsi="Verdana"/>
          <w:sz w:val="20"/>
          <w:szCs w:val="20"/>
        </w:rPr>
        <w:t>., stavka 1., točke 1. Zakona o turističkim zajednicama i promicanju hrvatskog turizma („Narodne novine“ br. 152/2008</w:t>
      </w:r>
      <w:r w:rsidRPr="008D23F4">
        <w:rPr>
          <w:rFonts w:ascii="Verdana" w:hAnsi="Verdana"/>
          <w:color w:val="auto"/>
          <w:sz w:val="20"/>
          <w:szCs w:val="20"/>
        </w:rPr>
        <w:t xml:space="preserve">), članka </w:t>
      </w:r>
      <w:r w:rsidR="008E114A" w:rsidRPr="008D23F4">
        <w:rPr>
          <w:rFonts w:ascii="Verdana" w:hAnsi="Verdana"/>
          <w:color w:val="auto"/>
          <w:sz w:val="20"/>
          <w:szCs w:val="20"/>
        </w:rPr>
        <w:t>43</w:t>
      </w:r>
      <w:r w:rsidRPr="008D23F4">
        <w:rPr>
          <w:rFonts w:ascii="Verdana" w:hAnsi="Verdana"/>
          <w:color w:val="auto"/>
          <w:sz w:val="20"/>
          <w:szCs w:val="20"/>
        </w:rPr>
        <w:t xml:space="preserve">. </w:t>
      </w:r>
      <w:r w:rsidR="008E114A" w:rsidRPr="008D23F4">
        <w:rPr>
          <w:rFonts w:ascii="Verdana" w:hAnsi="Verdana"/>
          <w:color w:val="auto"/>
          <w:sz w:val="20"/>
          <w:szCs w:val="20"/>
        </w:rPr>
        <w:t xml:space="preserve">Statuta </w:t>
      </w:r>
      <w:r w:rsidR="008E114A" w:rsidRPr="008D23F4">
        <w:rPr>
          <w:rFonts w:ascii="Verdana" w:eastAsia="Calibri" w:hAnsi="Verdana"/>
          <w:color w:val="auto"/>
          <w:sz w:val="20"/>
          <w:szCs w:val="20"/>
        </w:rPr>
        <w:t>Turističke zajednice Primorsko-goranske županije („Narodne novine</w:t>
      </w:r>
      <w:r w:rsidR="008E114A" w:rsidRPr="008D23F4">
        <w:rPr>
          <w:rFonts w:ascii="Verdana" w:eastAsia="Calibri" w:hAnsi="Verdana"/>
          <w:sz w:val="20"/>
          <w:szCs w:val="20"/>
        </w:rPr>
        <w:t xml:space="preserve">“ br. 112/10) </w:t>
      </w:r>
      <w:r w:rsidRPr="008D23F4">
        <w:rPr>
          <w:rFonts w:ascii="Verdana" w:hAnsi="Verdana"/>
          <w:sz w:val="20"/>
          <w:szCs w:val="20"/>
        </w:rPr>
        <w:t xml:space="preserve">i Uredbe Komisije (EU) br. 1407/2013 od 18. prosinca 2013. o primjeni članaka 107. i 108. Ugovora o funkcioniranju Europske unije na 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="001D0DDF" w:rsidRPr="008D23F4">
        <w:rPr>
          <w:rFonts w:ascii="Verdana" w:hAnsi="Verdana"/>
          <w:i/>
          <w:iCs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potpore (SL EU L 352/2013), </w:t>
      </w:r>
      <w:r w:rsidR="001D0DDF" w:rsidRPr="008D23F4">
        <w:rPr>
          <w:rFonts w:ascii="Verdana" w:eastAsia="Calibri" w:hAnsi="Verdana"/>
          <w:sz w:val="20"/>
          <w:szCs w:val="20"/>
        </w:rPr>
        <w:t>T</w:t>
      </w:r>
      <w:r w:rsidR="001D0DDF" w:rsidRPr="008D23F4">
        <w:rPr>
          <w:rFonts w:ascii="Verdana" w:hAnsi="Verdana"/>
          <w:bCs/>
          <w:sz w:val="20"/>
          <w:szCs w:val="20"/>
        </w:rPr>
        <w:t>uristički ured</w:t>
      </w:r>
      <w:r w:rsidR="001D0DDF" w:rsidRPr="008D23F4">
        <w:rPr>
          <w:rFonts w:ascii="Verdana" w:eastAsia="Calibri" w:hAnsi="Verdana"/>
          <w:bCs/>
          <w:sz w:val="20"/>
          <w:szCs w:val="20"/>
        </w:rPr>
        <w:t xml:space="preserve"> </w:t>
      </w:r>
      <w:r w:rsidR="001D0DDF" w:rsidRPr="008D23F4">
        <w:rPr>
          <w:rFonts w:ascii="Verdana" w:eastAsia="Calibri" w:hAnsi="Verdana"/>
          <w:sz w:val="20"/>
          <w:szCs w:val="20"/>
        </w:rPr>
        <w:t>Turističke zajednice Primorsko-goranske županije</w:t>
      </w:r>
      <w:r w:rsidR="001D0DDF" w:rsidRPr="008D23F4">
        <w:rPr>
          <w:rFonts w:ascii="Verdana" w:hAnsi="Verdana"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donosi </w:t>
      </w:r>
    </w:p>
    <w:p w:rsidR="00497FBA" w:rsidRPr="008D23F4" w:rsidRDefault="00497FBA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497FB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>PROGRAM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DODJELE </w:t>
      </w:r>
      <w:r w:rsidRPr="008D23F4">
        <w:rPr>
          <w:rFonts w:ascii="Verdana" w:hAnsi="Verdana"/>
          <w:b/>
          <w:bCs/>
          <w:i/>
          <w:iCs/>
          <w:sz w:val="20"/>
          <w:szCs w:val="20"/>
        </w:rPr>
        <w:t xml:space="preserve">DE MINIMIS </w:t>
      </w:r>
      <w:r w:rsidRPr="008D23F4">
        <w:rPr>
          <w:rFonts w:ascii="Verdana" w:hAnsi="Verdana"/>
          <w:b/>
          <w:bCs/>
          <w:sz w:val="20"/>
          <w:szCs w:val="20"/>
        </w:rPr>
        <w:t>POTPORA ZA RAZVOJ TURISTIČKOG SEKTORA U 2019. GODINI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1D0DDF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Programom dodjele 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="001D0DDF" w:rsidRPr="008D23F4">
        <w:rPr>
          <w:rFonts w:ascii="Verdana" w:hAnsi="Verdana"/>
          <w:i/>
          <w:iCs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>potpora za razvoj turističkog sektora u 2019. godini (dalje: Program) uređuju se uvjeti, kriteriji i način dodjele potpora male vrijednosti (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Pr="008D23F4">
        <w:rPr>
          <w:rFonts w:ascii="Verdana" w:hAnsi="Verdana"/>
          <w:sz w:val="20"/>
          <w:szCs w:val="20"/>
        </w:rPr>
        <w:t xml:space="preserve">) potpora (dalje: potpora), koje dodjeljuje </w:t>
      </w:r>
      <w:r w:rsidR="001D0DDF" w:rsidRPr="008D23F4">
        <w:rPr>
          <w:rFonts w:ascii="Verdana" w:eastAsia="Calibri" w:hAnsi="Verdana"/>
          <w:sz w:val="20"/>
          <w:szCs w:val="20"/>
        </w:rPr>
        <w:t>Turističk</w:t>
      </w:r>
      <w:r w:rsidR="001D0DDF" w:rsidRPr="008D23F4">
        <w:rPr>
          <w:rFonts w:ascii="Verdana" w:hAnsi="Verdana"/>
          <w:sz w:val="20"/>
          <w:szCs w:val="20"/>
        </w:rPr>
        <w:t>a zajednica</w:t>
      </w:r>
      <w:r w:rsidR="001D0DDF" w:rsidRPr="008D23F4">
        <w:rPr>
          <w:rFonts w:ascii="Verdana" w:eastAsia="Calibri" w:hAnsi="Verdana"/>
          <w:sz w:val="20"/>
          <w:szCs w:val="20"/>
        </w:rPr>
        <w:t xml:space="preserve"> Primorsko-goranske županije</w:t>
      </w:r>
      <w:r w:rsidR="001D0DDF" w:rsidRPr="008D23F4">
        <w:rPr>
          <w:rFonts w:ascii="Verdana" w:hAnsi="Verdana"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(dalje: </w:t>
      </w:r>
      <w:r w:rsidR="00E254B2" w:rsidRPr="008D23F4">
        <w:rPr>
          <w:rFonts w:ascii="Verdana" w:hAnsi="Verdana"/>
          <w:sz w:val="20"/>
          <w:szCs w:val="20"/>
        </w:rPr>
        <w:t>TZ Kvarnera</w:t>
      </w:r>
      <w:r w:rsidRPr="008D23F4">
        <w:rPr>
          <w:rFonts w:ascii="Verdana" w:hAnsi="Verdana"/>
          <w:sz w:val="20"/>
          <w:szCs w:val="20"/>
        </w:rPr>
        <w:t xml:space="preserve">) poduzetnicima za sufinanciranje troškova predviđenih ovim Programom. </w:t>
      </w:r>
    </w:p>
    <w:p w:rsidR="001D0DDF" w:rsidRPr="008D23F4" w:rsidRDefault="001D0DDF" w:rsidP="001D0DD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D0DDF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Potpore sukladno ovom Programu, TZ Kvarnera će dodjeljivati sukladno Uredbi Komisije (EU) 1407/13 od 18. prosinca 2013. godine o primjeni članka 107. i 108. Ugovora o funkcioniranju Europske unije na 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="001D0DDF" w:rsidRPr="008D23F4">
        <w:rPr>
          <w:rFonts w:ascii="Verdana" w:hAnsi="Verdana"/>
          <w:i/>
          <w:iCs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potpore (dalje: Uredba Komisije 1407/2013). </w:t>
      </w:r>
    </w:p>
    <w:p w:rsidR="001D0DDF" w:rsidRPr="008D23F4" w:rsidRDefault="001D0DDF" w:rsidP="001D0DD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D0DDF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Potporama TZ Kvarnera po ovom Programu, čiji iznosi se određuju sukladno Godišnjem programu rada i Godišnjem financijskom planu kojeg odobri Skupština TZ Kvarnera, a koje se odnose na promotivne i druge tržišne aktivnosti, upravlja </w:t>
      </w:r>
      <w:r w:rsidR="00573C13" w:rsidRPr="008D23F4">
        <w:rPr>
          <w:rFonts w:ascii="Verdana" w:hAnsi="Verdana"/>
          <w:sz w:val="20"/>
          <w:szCs w:val="20"/>
        </w:rPr>
        <w:t>T</w:t>
      </w:r>
      <w:r w:rsidRPr="008D23F4">
        <w:rPr>
          <w:rFonts w:ascii="Verdana" w:hAnsi="Verdana"/>
          <w:sz w:val="20"/>
          <w:szCs w:val="20"/>
        </w:rPr>
        <w:t>uristički ured TZ Kvarnera.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b/>
          <w:bCs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Definicije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2.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573C13" w:rsidP="00573C13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Za potrebe ovog Programa primjenjuju se sljedeće definicije</w:t>
      </w:r>
      <w:r w:rsidR="00497FBA" w:rsidRPr="008D23F4">
        <w:rPr>
          <w:rFonts w:ascii="Verdana" w:hAnsi="Verdana"/>
          <w:sz w:val="20"/>
          <w:szCs w:val="20"/>
        </w:rPr>
        <w:t xml:space="preserve">: </w:t>
      </w:r>
    </w:p>
    <w:p w:rsidR="00497FBA" w:rsidRDefault="00497FBA" w:rsidP="00ED330F">
      <w:pPr>
        <w:pStyle w:val="Default"/>
        <w:numPr>
          <w:ilvl w:val="0"/>
          <w:numId w:val="16"/>
        </w:numPr>
        <w:ind w:left="709" w:hanging="349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>Regionalna i lokalna događanja - prepoznatljiva događanja</w:t>
      </w:r>
      <w:r w:rsidR="00D6312E" w:rsidRPr="008D23F4">
        <w:rPr>
          <w:rFonts w:ascii="Verdana" w:hAnsi="Verdana"/>
          <w:color w:val="auto"/>
          <w:sz w:val="20"/>
          <w:szCs w:val="20"/>
        </w:rPr>
        <w:t xml:space="preserve"> koja </w:t>
      </w:r>
      <w:r w:rsidRPr="008D23F4">
        <w:rPr>
          <w:rFonts w:ascii="Verdana" w:hAnsi="Verdana"/>
          <w:color w:val="auto"/>
          <w:sz w:val="20"/>
          <w:szCs w:val="20"/>
        </w:rPr>
        <w:t xml:space="preserve">imaju promidžbeni učinak u zemlji i inozemstvu i to kulturna, zabavna, </w:t>
      </w:r>
      <w:r w:rsidR="00D602DD">
        <w:rPr>
          <w:rFonts w:ascii="Verdana" w:hAnsi="Verdana"/>
          <w:color w:val="auto"/>
          <w:sz w:val="20"/>
          <w:szCs w:val="20"/>
        </w:rPr>
        <w:t xml:space="preserve">sportska, </w:t>
      </w:r>
      <w:r w:rsidRPr="008D23F4">
        <w:rPr>
          <w:rFonts w:ascii="Verdana" w:hAnsi="Verdana"/>
          <w:color w:val="auto"/>
          <w:sz w:val="20"/>
          <w:szCs w:val="20"/>
        </w:rPr>
        <w:t>eno-gastronomska, povijesna</w:t>
      </w:r>
      <w:r w:rsidR="00D602DD">
        <w:rPr>
          <w:rFonts w:ascii="Verdana" w:hAnsi="Verdana"/>
          <w:color w:val="auto"/>
          <w:sz w:val="20"/>
          <w:szCs w:val="20"/>
        </w:rPr>
        <w:t xml:space="preserve">, </w:t>
      </w:r>
      <w:r w:rsidRPr="008D23F4">
        <w:rPr>
          <w:rFonts w:ascii="Verdana" w:hAnsi="Verdana"/>
          <w:color w:val="auto"/>
          <w:sz w:val="20"/>
          <w:szCs w:val="20"/>
        </w:rPr>
        <w:t>tradicijska</w:t>
      </w:r>
      <w:r w:rsidR="00D602DD">
        <w:rPr>
          <w:rFonts w:ascii="Verdana" w:hAnsi="Verdana"/>
          <w:color w:val="auto"/>
          <w:sz w:val="20"/>
          <w:szCs w:val="20"/>
        </w:rPr>
        <w:t xml:space="preserve"> i ostala događanja</w:t>
      </w:r>
      <w:bookmarkStart w:id="0" w:name="_GoBack"/>
      <w:bookmarkEnd w:id="0"/>
      <w:r w:rsidRPr="008D23F4">
        <w:rPr>
          <w:rFonts w:ascii="Verdana" w:hAnsi="Verdana"/>
          <w:color w:val="auto"/>
          <w:sz w:val="20"/>
          <w:szCs w:val="20"/>
        </w:rPr>
        <w:t xml:space="preserve">. </w:t>
      </w:r>
    </w:p>
    <w:p w:rsidR="00D602DD" w:rsidRPr="008D23F4" w:rsidRDefault="00D602DD" w:rsidP="00ED330F">
      <w:pPr>
        <w:pStyle w:val="Default"/>
        <w:numPr>
          <w:ilvl w:val="0"/>
          <w:numId w:val="16"/>
        </w:numPr>
        <w:ind w:left="709" w:hanging="349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Turistički nerazvijena područja - </w:t>
      </w:r>
      <w:r>
        <w:rPr>
          <w:rFonts w:ascii="Verdana" w:hAnsi="Verdana"/>
          <w:sz w:val="20"/>
          <w:szCs w:val="20"/>
        </w:rPr>
        <w:t>p</w:t>
      </w:r>
      <w:r w:rsidRPr="00003D16">
        <w:rPr>
          <w:rFonts w:ascii="Verdana" w:hAnsi="Verdana" w:cs="Arial"/>
          <w:sz w:val="20"/>
        </w:rPr>
        <w:t xml:space="preserve">od turistički manje razvijenim područjem smatraju se </w:t>
      </w:r>
      <w:r>
        <w:rPr>
          <w:rFonts w:ascii="Verdana" w:hAnsi="Verdana" w:cs="Arial"/>
          <w:sz w:val="20"/>
        </w:rPr>
        <w:t xml:space="preserve">one </w:t>
      </w:r>
      <w:r w:rsidRPr="00003D16">
        <w:rPr>
          <w:rFonts w:ascii="Verdana" w:hAnsi="Verdana" w:cs="Arial"/>
          <w:sz w:val="20"/>
        </w:rPr>
        <w:t>turističke zajednice</w:t>
      </w:r>
      <w:r>
        <w:rPr>
          <w:rFonts w:ascii="Verdana" w:hAnsi="Verdana" w:cs="Arial"/>
          <w:sz w:val="20"/>
        </w:rPr>
        <w:t xml:space="preserve"> koje su u 2018. godini sudjelovale s manje od 1% u prihodima TZ Kvarnera ostvarenim od boravišne pristojbe i turističke članarine</w:t>
      </w:r>
      <w:r>
        <w:rPr>
          <w:rFonts w:ascii="Verdana" w:hAnsi="Verdana" w:cs="Arial"/>
          <w:sz w:val="20"/>
        </w:rPr>
        <w:t xml:space="preserve">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b/>
          <w:bCs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Namjena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3.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573C13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 temelju ovog Programa, TZ Kvarnera će raspisati Javne pozive za sljedeće mjere: </w:t>
      </w:r>
    </w:p>
    <w:p w:rsidR="00497FBA" w:rsidRPr="008D23F4" w:rsidRDefault="00497FBA" w:rsidP="00573C1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573C1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Regionalna i lokalna događanja,</w:t>
      </w:r>
    </w:p>
    <w:p w:rsidR="00497FBA" w:rsidRPr="008D23F4" w:rsidRDefault="00497FBA" w:rsidP="00573C13">
      <w:pPr>
        <w:pStyle w:val="Default"/>
        <w:ind w:left="720"/>
        <w:jc w:val="both"/>
        <w:rPr>
          <w:rFonts w:ascii="Verdana" w:hAnsi="Verdana"/>
          <w:sz w:val="20"/>
          <w:szCs w:val="20"/>
          <w:lang w:eastAsia="hr-HR"/>
        </w:rPr>
      </w:pPr>
      <w:r w:rsidRPr="008D23F4">
        <w:rPr>
          <w:rFonts w:ascii="Verdana" w:hAnsi="Verdana"/>
          <w:sz w:val="20"/>
          <w:szCs w:val="20"/>
        </w:rPr>
        <w:t xml:space="preserve">Hrvatska turistička zajednica će za ovaj Javni poziv osigurati  475.472,99 kuna, a </w:t>
      </w:r>
      <w:r w:rsidRPr="008D23F4">
        <w:rPr>
          <w:rFonts w:ascii="Verdana" w:hAnsi="Verdana"/>
          <w:sz w:val="20"/>
          <w:szCs w:val="20"/>
          <w:lang w:eastAsia="hr-HR"/>
        </w:rPr>
        <w:t>obradu, evidentiranje i ocjenu valjanosti zaprimljenih kandidatura sukladno kriterijima Javnog poziva provodi Povjerenstvo</w:t>
      </w:r>
      <w:r w:rsidR="00916FD4" w:rsidRPr="008D23F4">
        <w:rPr>
          <w:rFonts w:ascii="Verdana" w:hAnsi="Verdana"/>
          <w:sz w:val="20"/>
          <w:szCs w:val="20"/>
          <w:lang w:eastAsia="hr-HR"/>
        </w:rPr>
        <w:t xml:space="preserve"> </w:t>
      </w:r>
      <w:r w:rsidRPr="008D23F4">
        <w:rPr>
          <w:rFonts w:ascii="Verdana" w:hAnsi="Verdana"/>
          <w:sz w:val="20"/>
          <w:szCs w:val="20"/>
          <w:lang w:eastAsia="hr-HR"/>
        </w:rPr>
        <w:t>TZ Kvarnera koje i utvrđuje prijedlog Odluke o dodjeli bespovratnih sredstava potpore sukladno utvrđenim bodovima/ocjenama i rezultatima rangiranja.</w:t>
      </w:r>
    </w:p>
    <w:p w:rsidR="00497FBA" w:rsidRPr="008D23F4" w:rsidRDefault="00497FBA" w:rsidP="00573C13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573C1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Turistički nerazvijena područja</w:t>
      </w:r>
      <w:r w:rsidR="00E254B2" w:rsidRPr="008D23F4">
        <w:rPr>
          <w:rFonts w:ascii="Verdana" w:hAnsi="Verdana"/>
          <w:sz w:val="20"/>
          <w:szCs w:val="20"/>
        </w:rPr>
        <w:t>,</w:t>
      </w:r>
    </w:p>
    <w:p w:rsidR="00497FBA" w:rsidRPr="008D23F4" w:rsidRDefault="00E254B2" w:rsidP="00573C13">
      <w:pPr>
        <w:pStyle w:val="Default"/>
        <w:ind w:left="720"/>
        <w:jc w:val="both"/>
        <w:rPr>
          <w:rFonts w:ascii="Verdana" w:hAnsi="Verdana"/>
          <w:sz w:val="20"/>
          <w:szCs w:val="20"/>
          <w:lang w:eastAsia="hr-HR"/>
        </w:rPr>
      </w:pPr>
      <w:r w:rsidRPr="008D23F4">
        <w:rPr>
          <w:rFonts w:ascii="Verdana" w:hAnsi="Verdana"/>
          <w:sz w:val="20"/>
          <w:szCs w:val="20"/>
        </w:rPr>
        <w:t>TZ Kvarnera je za navedeni Javni poziv osigurala 150.000,00 kuna.</w:t>
      </w:r>
      <w:r w:rsidR="0025236B" w:rsidRPr="008D23F4">
        <w:rPr>
          <w:rFonts w:ascii="Verdana" w:hAnsi="Verdana"/>
          <w:sz w:val="20"/>
          <w:szCs w:val="20"/>
        </w:rPr>
        <w:t xml:space="preserve"> O</w:t>
      </w:r>
      <w:r w:rsidR="0025236B" w:rsidRPr="008D23F4">
        <w:rPr>
          <w:rFonts w:ascii="Verdana" w:hAnsi="Verdana"/>
          <w:sz w:val="20"/>
          <w:szCs w:val="20"/>
          <w:lang w:eastAsia="hr-HR"/>
        </w:rPr>
        <w:t>bradu, evidentiranje i ocjenu valjanosti zaprimljenih kandidatura sukladno kriterijima Javnog poziva provodi Povjerenstvo</w:t>
      </w:r>
      <w:r w:rsidR="00916FD4" w:rsidRPr="008D23F4">
        <w:rPr>
          <w:rFonts w:ascii="Verdana" w:hAnsi="Verdana"/>
          <w:sz w:val="20"/>
          <w:szCs w:val="20"/>
          <w:lang w:eastAsia="hr-HR"/>
        </w:rPr>
        <w:t xml:space="preserve"> </w:t>
      </w:r>
      <w:r w:rsidR="0025236B" w:rsidRPr="008D23F4">
        <w:rPr>
          <w:rFonts w:ascii="Verdana" w:hAnsi="Verdana"/>
          <w:sz w:val="20"/>
          <w:szCs w:val="20"/>
          <w:lang w:eastAsia="hr-HR"/>
        </w:rPr>
        <w:t xml:space="preserve">TZ Kvarnera koje i utvrđuje prijedlog Odluke o </w:t>
      </w:r>
      <w:r w:rsidR="0025236B" w:rsidRPr="008D23F4">
        <w:rPr>
          <w:rFonts w:ascii="Verdana" w:hAnsi="Verdana"/>
          <w:sz w:val="20"/>
          <w:szCs w:val="20"/>
          <w:lang w:eastAsia="hr-HR"/>
        </w:rPr>
        <w:lastRenderedPageBreak/>
        <w:t>dodjeli bespovratnih sredstava potpore sukladno utvrđenim bodovima/ocjenama i rezultatima rangiranja</w:t>
      </w:r>
      <w:r w:rsidR="00F750CB" w:rsidRPr="008D23F4">
        <w:rPr>
          <w:rFonts w:ascii="Verdana" w:hAnsi="Verdana"/>
          <w:sz w:val="20"/>
          <w:szCs w:val="20"/>
          <w:lang w:eastAsia="hr-HR"/>
        </w:rPr>
        <w:t>.</w:t>
      </w:r>
    </w:p>
    <w:p w:rsidR="00C7757F" w:rsidRPr="008D23F4" w:rsidRDefault="00C7757F" w:rsidP="00A13BD1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467ABB" w:rsidRPr="008D23F4" w:rsidRDefault="00467ABB" w:rsidP="00A13BD1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8D23F4">
        <w:rPr>
          <w:rFonts w:ascii="Verdana" w:hAnsi="Verdana"/>
          <w:bCs/>
          <w:sz w:val="20"/>
          <w:szCs w:val="20"/>
        </w:rPr>
        <w:t>Detaljni uvjeti za dodjelu potpora</w:t>
      </w:r>
      <w:r w:rsidR="00A13BD1" w:rsidRPr="008D23F4">
        <w:rPr>
          <w:rFonts w:ascii="Verdana" w:hAnsi="Verdana"/>
          <w:bCs/>
          <w:sz w:val="20"/>
          <w:szCs w:val="20"/>
        </w:rPr>
        <w:t xml:space="preserve"> za mjere iz prethodnog stavka dani su u </w:t>
      </w:r>
      <w:r w:rsidR="00A13BD1" w:rsidRPr="008D23F4">
        <w:rPr>
          <w:rFonts w:ascii="Verdana" w:eastAsia="Times New Roman" w:hAnsi="Verdana" w:cs="Arial"/>
          <w:sz w:val="20"/>
          <w:szCs w:val="20"/>
          <w:lang w:eastAsia="hr-HR"/>
        </w:rPr>
        <w:t xml:space="preserve">Dokumentaciji za </w:t>
      </w:r>
      <w:r w:rsidR="00A13BD1" w:rsidRPr="008D23F4">
        <w:rPr>
          <w:rFonts w:ascii="Verdana" w:hAnsi="Verdana"/>
          <w:sz w:val="20"/>
          <w:szCs w:val="20"/>
        </w:rPr>
        <w:t xml:space="preserve">Javni poziv </w:t>
      </w:r>
      <w:r w:rsidR="00A13BD1" w:rsidRPr="008D23F4">
        <w:rPr>
          <w:rFonts w:ascii="Verdana" w:eastAsia="Times New Roman" w:hAnsi="Verdana" w:cs="Arial"/>
          <w:sz w:val="20"/>
          <w:szCs w:val="20"/>
          <w:lang w:eastAsia="hr-HR"/>
        </w:rPr>
        <w:t xml:space="preserve">koja čini sastavi dio </w:t>
      </w:r>
      <w:r w:rsidR="00A13BD1" w:rsidRPr="008D23F4">
        <w:rPr>
          <w:rFonts w:ascii="Verdana" w:eastAsia="Calibri" w:hAnsi="Verdana" w:cs="Arial"/>
          <w:sz w:val="20"/>
          <w:szCs w:val="20"/>
        </w:rPr>
        <w:t>ovog Programa.</w:t>
      </w:r>
    </w:p>
    <w:p w:rsidR="00467ABB" w:rsidRPr="008D23F4" w:rsidRDefault="00467ABB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b/>
          <w:bCs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Sredstva koja ne predstavljaju potporu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4.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A13BD1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Program se ne odnosi na financijska sredstva kojima TZ Kvarnera financira promociju turističke destinacije na nacionalnoj i/ili regionalnoj/lokalnoj razini, kada se radi o sufinanciranju mjere koja ima čisto lokalni karakter odnosno kada su investicijska ulaganja otvorena i dostupna svim osobama bez plaćanja naknade za njihovo korištenje tj. kada se ne daje ekonomska prednost pojedinom poduzetniku ili grupi poduzetnika.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960F48" w:rsidRDefault="00960F48" w:rsidP="00960F48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Korisnici </w:t>
      </w:r>
    </w:p>
    <w:p w:rsidR="00960F48" w:rsidRDefault="00960F48" w:rsidP="00960F4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 5.</w:t>
      </w:r>
    </w:p>
    <w:p w:rsidR="00960F48" w:rsidRPr="00883F81" w:rsidRDefault="00960F48" w:rsidP="00960F48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960F48" w:rsidRPr="00883F81" w:rsidRDefault="00960F48" w:rsidP="00960F4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hr-HR"/>
        </w:rPr>
      </w:pPr>
      <w:r w:rsidRPr="00883F81">
        <w:rPr>
          <w:rFonts w:ascii="Verdana" w:hAnsi="Verdana" w:cs="Calibri"/>
          <w:sz w:val="20"/>
          <w:szCs w:val="20"/>
          <w:lang w:eastAsia="hr-HR"/>
        </w:rPr>
        <w:t xml:space="preserve">Za sredstva potpore mogu se kandidirati pravne i fizičke osobe i to: 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>turističke zajednice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 xml:space="preserve">trgovačka društva, 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 xml:space="preserve">obrti, 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 xml:space="preserve">zadruge/udruge, 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 xml:space="preserve">sportski savezi, 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 xml:space="preserve">javne ustanove, 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 xml:space="preserve">ustanove u kulturi, </w:t>
      </w:r>
    </w:p>
    <w:p w:rsidR="00960F48" w:rsidRPr="00883F81" w:rsidRDefault="00960F48" w:rsidP="00960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sz w:val="20"/>
          <w:szCs w:val="20"/>
          <w:lang w:eastAsia="hr-HR"/>
        </w:rPr>
      </w:pPr>
      <w:r w:rsidRPr="00883F81">
        <w:rPr>
          <w:rFonts w:ascii="Verdana" w:hAnsi="Verdana" w:cs="Wingdings"/>
          <w:sz w:val="20"/>
          <w:szCs w:val="20"/>
          <w:lang w:eastAsia="hr-HR"/>
        </w:rPr>
        <w:t xml:space="preserve">umjetničke organizacije, </w:t>
      </w:r>
    </w:p>
    <w:p w:rsidR="00960F48" w:rsidRDefault="00960F48" w:rsidP="00960F4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60F48" w:rsidRDefault="00960F48" w:rsidP="00960F4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Poduzetnik/korisnik potpore sukladno ovom Programu može biti svaka pravna i fizička osoba koja, obavljajući gospodarsku djelatnost, sudjeluje u prometu roba i usluga (u daljnjem tekstu: Korisnik), iz sljedećih područja navedenih u Odluci o nacionalnoj klasifikaciji djelatnosti 2007.-NKD 2007. („Narodne novine“ br. 58/2007. i 72/2007.): Području I „Djelatnost pružanja smještaja te pripreme i usluživanja hrane“ ili u Području N, Odjeljak 79 „Putničke agencije, organizatori putovanja (turoperatori) i ostale rezervacijske usluge te djelatnosti povezane s njima, Području R, Umjetnost, zabava i rekreacija.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Zabrana dodjele potpore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6.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A13BD1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Potpore iz ovog Programa ne mogu se dodijeliti za sljedeće namjene: </w:t>
      </w:r>
    </w:p>
    <w:p w:rsidR="00497FBA" w:rsidRPr="008D23F4" w:rsidRDefault="00497FBA" w:rsidP="00A13BD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potpore poduzetnicima koji djeluju u sektoru ribarstva i akvakulture, </w:t>
      </w:r>
    </w:p>
    <w:p w:rsidR="00A13BD1" w:rsidRPr="008D23F4" w:rsidRDefault="00A13BD1" w:rsidP="00A13BD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potpore poduzetnicima koji djeluju u primarnoj proizvodnji poljoprivrednih proizvoda, te 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prenošenjem na primarne proizvođače,</w:t>
      </w:r>
    </w:p>
    <w:p w:rsidR="00A13BD1" w:rsidRPr="008D23F4" w:rsidRDefault="00A13BD1" w:rsidP="00A13BD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djelatnosti usmjerene izvozu u treće zemlje ili države članice ako se takve potpore mogu izravno povezati s brojem dovedenih turista, brojem osiguranih mjesta u zrakoplovima i autobusima, brojem noćenja i slično, uspostavom i funkcioniranjem distribucijske mreže ili s drugim tekućim troškovima vezanim za dovođenje turista, </w:t>
      </w:r>
    </w:p>
    <w:p w:rsidR="00A13BD1" w:rsidRPr="008D23F4" w:rsidRDefault="00A13BD1" w:rsidP="00A13BD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slučaju kada se uvjetuje uporaba domaćih proizvoda umjesto uvezenih, </w:t>
      </w:r>
    </w:p>
    <w:p w:rsidR="00A13BD1" w:rsidRPr="008D23F4" w:rsidRDefault="00A13BD1" w:rsidP="00A13BD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za nabavu vozila za cestovni prijevoz tereta poduzetnicima koji se bave cestovnim prijevozom tereta za najamninu i naknadu. </w:t>
      </w:r>
    </w:p>
    <w:p w:rsidR="00A13BD1" w:rsidRPr="008D23F4" w:rsidRDefault="00A13BD1" w:rsidP="00A13BD1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A13BD1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lastRenderedPageBreak/>
        <w:t xml:space="preserve">Ako poduzetnik djeluje u sektorima navedenima u stavku 1. točkama (a), (b) i (e) i djeluje u jednom ili više sektora ili ima druge djelatnosti koje su obuhvaćene područjem primjene ovog Programa, ovaj se Program primjenjuje na potpore dodijeljene u vezi s tim drugim sektorima ili djelatnostima, uz uvjet da poduzetnik osigura, na primjeren način, razdvajanje djelatnosti ili troškova (vođenje odvojenog knjigovodstva), da djelatnosti u sektorima koji su isključeni iz područja primjene ovog Programa ne ostvaruju korist od 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="00CF48FA" w:rsidRPr="008D23F4">
        <w:rPr>
          <w:rFonts w:ascii="Verdana" w:hAnsi="Verdana"/>
          <w:i/>
          <w:iCs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potpore dodijeljene na temelju ovog Programa. </w:t>
      </w:r>
    </w:p>
    <w:p w:rsidR="00CF48FA" w:rsidRPr="008D23F4" w:rsidRDefault="00CF48FA" w:rsidP="00A13BD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A13BD1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Osim navedenog, TZ Kvarnera može odlučiti da se potpora dodjeljuje samo određenim poduzetnicima s obzirom na njihovu veličinu i samo za određenu namjenu, u skladu s kriterijima predviđenim za svaku mjeru iz članka 3. ovog Programa. </w:t>
      </w:r>
    </w:p>
    <w:p w:rsidR="00CF48FA" w:rsidRPr="008D23F4" w:rsidRDefault="00CF48FA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62D8C" w:rsidRPr="008D23F4" w:rsidRDefault="00862D8C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Definicija „jednog poduzetnika“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7.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CF48F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Potpore sukladno ovom Programu, </w:t>
      </w:r>
      <w:r w:rsidR="00CF48FA" w:rsidRPr="008D23F4">
        <w:rPr>
          <w:rFonts w:ascii="Verdana" w:hAnsi="Verdana"/>
          <w:sz w:val="20"/>
          <w:szCs w:val="20"/>
        </w:rPr>
        <w:t xml:space="preserve">TZ Kvarnera </w:t>
      </w:r>
      <w:r w:rsidRPr="008D23F4">
        <w:rPr>
          <w:rFonts w:ascii="Verdana" w:hAnsi="Verdana"/>
          <w:sz w:val="20"/>
          <w:szCs w:val="20"/>
        </w:rPr>
        <w:t xml:space="preserve">će dodjeljivati poštujući pravilo iz Uredbe Komisije 1407/2013 da se svi subjekti koje kontrolira jedan poduzetnik na pravnoj ili </w:t>
      </w:r>
      <w:r w:rsidRPr="008D23F4">
        <w:rPr>
          <w:rFonts w:ascii="Verdana" w:hAnsi="Verdana"/>
          <w:i/>
          <w:iCs/>
          <w:sz w:val="20"/>
          <w:szCs w:val="20"/>
        </w:rPr>
        <w:t xml:space="preserve">de facto </w:t>
      </w:r>
      <w:r w:rsidRPr="008D23F4">
        <w:rPr>
          <w:rFonts w:ascii="Verdana" w:hAnsi="Verdana"/>
          <w:sz w:val="20"/>
          <w:szCs w:val="20"/>
        </w:rPr>
        <w:t xml:space="preserve">osnovi smatraju jednim poduzetnikom. </w:t>
      </w:r>
    </w:p>
    <w:p w:rsidR="00CF48FA" w:rsidRPr="008D23F4" w:rsidRDefault="00CF48FA" w:rsidP="00CF48F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CF48F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Pojam „jedan poduzetnik” iz stavka 1. ovog članka obuhvaća sva povezana društva ili grupu koja zadovoljava jedan od sljedećih međusobnih odnosa: </w:t>
      </w:r>
    </w:p>
    <w:p w:rsidR="00497FBA" w:rsidRPr="008D23F4" w:rsidRDefault="00497FBA" w:rsidP="00CF48FA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jedno društvo ima većinu glasačkih prava u drugom društvu na temelju dionica ili uloga u temeljnom kapitalu, </w:t>
      </w:r>
    </w:p>
    <w:p w:rsidR="00CF48FA" w:rsidRPr="008D23F4" w:rsidRDefault="00CF48FA" w:rsidP="00CF48FA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jedno društvo ima pravo imenovati ili smijeniti člana ili više članova uprave i nadzornog odbora drugog društva, </w:t>
      </w:r>
    </w:p>
    <w:p w:rsidR="00CF48FA" w:rsidRPr="008D23F4" w:rsidRDefault="00CF48FA" w:rsidP="00CF48FA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jedno društvo ima pravo ostvarivati vladajući utjecaj na drugo društvo temeljem sklopljenog ugovora ili prema odredbama statuta ili osnivačkog ugovora, </w:t>
      </w:r>
    </w:p>
    <w:p w:rsidR="00CF48FA" w:rsidRPr="008D23F4" w:rsidRDefault="00CF48FA" w:rsidP="00CF48FA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jedno društvo koje je dioničar ili član u drugom društvu kontrolira samo sukladno dogovoru s drugim dioničarima ili članovima tog društva, većinu glasačkih prava dioničara ili članova tog društva.</w:t>
      </w:r>
    </w:p>
    <w:p w:rsidR="00497FBA" w:rsidRPr="008D23F4" w:rsidRDefault="00497FBA" w:rsidP="00CF48F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CF48F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Poduzetnik/Korisnik obavezno, uz zahtjev za dodjelom potpore sukladno ovom Programu, temeljem odredbi stavka 2. ovog članka, prilaže potpisanu i ovjerenu Izjavu u kojoj navodi sva povezana društva koja su s njim povezana. </w:t>
      </w:r>
    </w:p>
    <w:p w:rsidR="00415E69" w:rsidRPr="008D23F4" w:rsidRDefault="00415E69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Prihvatljivi troškovi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8.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E1769B" w:rsidRPr="008D23F4" w:rsidRDefault="00E1769B" w:rsidP="00E1769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Prihvatljivi troškovi su ukupni troškovi predviđeni za svaku pojedinu mjeru navedenu u </w:t>
      </w:r>
      <w:r w:rsidRPr="008D23F4">
        <w:rPr>
          <w:rFonts w:ascii="Verdana" w:eastAsia="Times New Roman" w:hAnsi="Verdana" w:cs="Arial"/>
          <w:sz w:val="20"/>
          <w:szCs w:val="20"/>
          <w:lang w:eastAsia="hr-HR"/>
        </w:rPr>
        <w:t xml:space="preserve">Dokumentaciji za </w:t>
      </w:r>
      <w:r w:rsidRPr="008D23F4">
        <w:rPr>
          <w:rFonts w:ascii="Verdana" w:hAnsi="Verdana"/>
          <w:sz w:val="20"/>
          <w:szCs w:val="20"/>
        </w:rPr>
        <w:t xml:space="preserve">Javni poziv </w:t>
      </w:r>
      <w:r w:rsidRPr="008D23F4">
        <w:rPr>
          <w:rFonts w:ascii="Verdana" w:hAnsi="Verdana"/>
          <w:color w:val="auto"/>
          <w:sz w:val="20"/>
          <w:szCs w:val="20"/>
        </w:rPr>
        <w:t xml:space="preserve">odnosno za svaki pojedini projekt iz članka 3. ovog Programa i koji su odobreni od </w:t>
      </w:r>
      <w:r w:rsidRPr="008D23F4">
        <w:rPr>
          <w:rFonts w:ascii="Verdana" w:hAnsi="Verdana"/>
          <w:sz w:val="20"/>
          <w:szCs w:val="20"/>
        </w:rPr>
        <w:t>TZ Kvarnera</w:t>
      </w:r>
      <w:r w:rsidRPr="008D23F4">
        <w:rPr>
          <w:rFonts w:ascii="Verdana" w:hAnsi="Verdana"/>
          <w:color w:val="auto"/>
          <w:sz w:val="20"/>
          <w:szCs w:val="20"/>
        </w:rPr>
        <w:t>.</w:t>
      </w:r>
    </w:p>
    <w:p w:rsidR="00E1769B" w:rsidRPr="008D23F4" w:rsidRDefault="00E1769B" w:rsidP="00CF48F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CF48F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U prihvatljive troškove ne ulazi porez na dodanu vrijednost. </w:t>
      </w:r>
    </w:p>
    <w:p w:rsidR="00E1769B" w:rsidRPr="008D23F4" w:rsidRDefault="00E1769B" w:rsidP="00CF48FA">
      <w:pPr>
        <w:pStyle w:val="Default"/>
        <w:jc w:val="both"/>
        <w:rPr>
          <w:rFonts w:ascii="Verdana" w:hAnsi="Verdana"/>
          <w:color w:val="C00000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Visina potpore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9.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Visina potpore koja se dodjeljuje jednom Korisniku može iznositi najviše 200.000 EUR (dvjestotisuća eura), u kunskoj protuvrijednosti po srednjem tečaju Hrvatske narodne banke koji vrijedi na dan kada Korisnik stekne zakonsko pravo na primanje potpore, tijekom bilo kojeg razdoblja od 3 (tri) fiskalne godine. </w:t>
      </w:r>
    </w:p>
    <w:p w:rsidR="00E1769B" w:rsidRPr="008D23F4" w:rsidRDefault="00E1769B" w:rsidP="00E1769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Ako se ne može osigurati razdvajanje prihoda i troškova za djelatnosti u sektorima na koje se primjenjuje gornja granica potpore iskazana u prethodnom stavku, radi izbjegavanja prelijevanja potpore na djelatnosti koje su isključene iz primjene ovog Programa, na sve </w:t>
      </w:r>
      <w:r w:rsidRPr="008D23F4">
        <w:rPr>
          <w:rFonts w:ascii="Verdana" w:hAnsi="Verdana"/>
          <w:sz w:val="20"/>
          <w:szCs w:val="20"/>
        </w:rPr>
        <w:lastRenderedPageBreak/>
        <w:t xml:space="preserve">djelatnosti poduzetnika treba primijeniti najnižu gornju granicu kako je </w:t>
      </w:r>
      <w:r w:rsidRPr="008D23F4">
        <w:rPr>
          <w:rFonts w:ascii="Verdana" w:hAnsi="Verdana"/>
          <w:color w:val="auto"/>
          <w:sz w:val="20"/>
          <w:szCs w:val="20"/>
        </w:rPr>
        <w:t xml:space="preserve">to definirano u posebnim pravilima za takve sektore. </w:t>
      </w:r>
    </w:p>
    <w:p w:rsidR="00E1769B" w:rsidRPr="008D23F4" w:rsidRDefault="00E1769B" w:rsidP="00E1769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Korisnik ne smije potporu koristiti za druge namjene, jer će u tom slučaju </w:t>
      </w:r>
      <w:r w:rsidR="00415E69" w:rsidRPr="008D23F4">
        <w:rPr>
          <w:rFonts w:ascii="Verdana" w:hAnsi="Verdana"/>
          <w:color w:val="auto"/>
          <w:sz w:val="20"/>
          <w:szCs w:val="20"/>
        </w:rPr>
        <w:t>TZ Kvarnera</w:t>
      </w:r>
      <w:r w:rsidRPr="008D23F4">
        <w:rPr>
          <w:rFonts w:ascii="Verdana" w:hAnsi="Verdana"/>
          <w:color w:val="auto"/>
          <w:sz w:val="20"/>
          <w:szCs w:val="20"/>
        </w:rPr>
        <w:t xml:space="preserve"> naložiti povrat potpore uvećan za važeću referentnu stopu. </w:t>
      </w:r>
    </w:p>
    <w:p w:rsidR="00E1769B" w:rsidRPr="008D23F4" w:rsidRDefault="00E1769B" w:rsidP="00E1769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Korisnik potpore dužan je TZ Kvarnera, kao davatelju potpore, dostaviti potpisanu i ovjerenu Izjavu o svim državnim potporama i </w:t>
      </w:r>
      <w:r w:rsidRPr="008D23F4">
        <w:rPr>
          <w:rFonts w:ascii="Verdana" w:hAnsi="Verdana"/>
          <w:i/>
          <w:iCs/>
          <w:color w:val="auto"/>
          <w:sz w:val="20"/>
          <w:szCs w:val="20"/>
        </w:rPr>
        <w:t>de minimis</w:t>
      </w:r>
      <w:r w:rsidR="00E1769B" w:rsidRPr="008D23F4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r w:rsidRPr="008D23F4">
        <w:rPr>
          <w:rFonts w:ascii="Verdana" w:hAnsi="Verdana"/>
          <w:color w:val="auto"/>
          <w:sz w:val="20"/>
          <w:szCs w:val="20"/>
        </w:rPr>
        <w:t>potporama koje je isti koristio u tekućoj i prethodne 2 (dvije) fiskalne godine, a koje je dobio od svih davatelja državne</w:t>
      </w:r>
      <w:r w:rsidRPr="008D23F4">
        <w:rPr>
          <w:rFonts w:ascii="Verdana" w:hAnsi="Verdana"/>
          <w:sz w:val="20"/>
          <w:szCs w:val="20"/>
        </w:rPr>
        <w:t xml:space="preserve"> potpore neovisno o razini (državna, EU fondovi, regionalna, lokalna) kako se ne bi premašile gornje granice iz stavka 1. ovog članka. </w:t>
      </w:r>
    </w:p>
    <w:p w:rsidR="00862D8C" w:rsidRPr="008D23F4" w:rsidRDefault="00862D8C" w:rsidP="00E1769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62D8C" w:rsidRPr="008D23F4" w:rsidRDefault="00862D8C" w:rsidP="00E1769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Instrument dodjele potpore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10.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Potpora se dodjeljuje Korisniku u obliku subvencije.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15E69" w:rsidRPr="008D23F4" w:rsidRDefault="00415E69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Zbrajanje potpora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11.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Potpore po ovom Programu mogu se zbrajati s drugim potporama male vrijednosti (naročito se to odnosi na potpore odobrene od strane </w:t>
      </w:r>
      <w:r w:rsidR="00415E69" w:rsidRPr="008D23F4">
        <w:rPr>
          <w:rFonts w:ascii="Verdana" w:hAnsi="Verdana"/>
          <w:sz w:val="20"/>
          <w:szCs w:val="20"/>
        </w:rPr>
        <w:t>Hrvatske turističke zajednice</w:t>
      </w:r>
      <w:r w:rsidRPr="008D23F4">
        <w:rPr>
          <w:rFonts w:ascii="Verdana" w:hAnsi="Verdana"/>
          <w:sz w:val="20"/>
          <w:szCs w:val="20"/>
        </w:rPr>
        <w:t xml:space="preserve"> i ostalih lokalnih turističkih zajednica) do iznosa kako je to predviđeno u članku 9. stavku 1. ili stavku 2. Programa. </w:t>
      </w:r>
    </w:p>
    <w:p w:rsidR="004C7F76" w:rsidRPr="008D23F4" w:rsidRDefault="004C7F76" w:rsidP="00E1769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Potpore koje se dodjeljuju sukladno ovom Programu mogu se zbrajati (kumulirati) s bilo kojom drugom državnom potporom pod uvjetom da se ne radi o istim opravdanim troškovima. </w:t>
      </w:r>
    </w:p>
    <w:p w:rsidR="004C7F76" w:rsidRPr="008D23F4" w:rsidRDefault="004C7F76" w:rsidP="00E1769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Ako se radi o istim opravdanim troškovima, za koje je poduzetnik dobio 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="004C7F76" w:rsidRPr="008D23F4">
        <w:rPr>
          <w:rFonts w:ascii="Verdana" w:hAnsi="Verdana"/>
          <w:i/>
          <w:iCs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potporu i državnu potporu od različitih davatelja potpore, odnosno iz različitih izvora, tada je zbrajanje dopušteno samo pod uvjetom ako to zbrajanje ne dovodi do premašivanja najvišeg iznosa potpore koji je utvrđen u posebnim programima državnih potpora. </w:t>
      </w:r>
    </w:p>
    <w:p w:rsidR="004C7F76" w:rsidRPr="008D23F4" w:rsidRDefault="004C7F76" w:rsidP="00E1769B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E1769B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Prilikom utvrđ</w:t>
      </w:r>
      <w:r w:rsidR="004C7F76" w:rsidRPr="008D23F4">
        <w:rPr>
          <w:rFonts w:ascii="Verdana" w:hAnsi="Verdana"/>
          <w:sz w:val="20"/>
          <w:szCs w:val="20"/>
        </w:rPr>
        <w:t>ivanja poštuju li se odredbe ovog</w:t>
      </w:r>
      <w:r w:rsidRPr="008D23F4">
        <w:rPr>
          <w:rFonts w:ascii="Verdana" w:hAnsi="Verdana"/>
          <w:sz w:val="20"/>
          <w:szCs w:val="20"/>
        </w:rPr>
        <w:t xml:space="preserve"> </w:t>
      </w:r>
      <w:r w:rsidR="004C7F76" w:rsidRPr="008D23F4">
        <w:rPr>
          <w:rFonts w:ascii="Verdana" w:hAnsi="Verdana"/>
          <w:sz w:val="20"/>
          <w:szCs w:val="20"/>
        </w:rPr>
        <w:t>članka</w:t>
      </w:r>
      <w:r w:rsidRPr="008D23F4">
        <w:rPr>
          <w:rFonts w:ascii="Verdana" w:hAnsi="Verdana"/>
          <w:sz w:val="20"/>
          <w:szCs w:val="20"/>
        </w:rPr>
        <w:t xml:space="preserve"> o zbrajanju potpora TZ Kvarnera će uzimati u obzir sve iznose potpora koje su određenom poduzetniku, projektu ili aktivnosti dodijeljene iz državnih/javnih izvora neovisno o tomu radi li se o sredstvima TZ Kvarnera ili drugih davatelja potpora na razini središnje države ili sredstvima dodijeljenim od strane jedinica lokalne i područne (regionalne) samouprave.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Obveze korisnika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12.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Korisnik potpore dužan je dostavljati TZ Kvarnera izvješća o realizaciji projekta za koji je dobio potporu, što će biti utvrđeno ugovorom o korištenju sredstava TZ Kvarnera. </w:t>
      </w:r>
    </w:p>
    <w:p w:rsidR="004C7F76" w:rsidRPr="008D23F4" w:rsidRDefault="004C7F76" w:rsidP="004C7F7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TZ Kvarnera ima pravo u svako doba, putem ovlaštenih osoba, pratiti i kontrolirati namjensko korištenje sredstava, te izvršenje prava i obveza Korisnika sredstava na temelju odluke o dodjeli sredstava, odnosno sklopljenog ugovora o korištenju sredstava. </w:t>
      </w:r>
    </w:p>
    <w:p w:rsidR="004C7F76" w:rsidRPr="008D23F4" w:rsidRDefault="004C7F76" w:rsidP="004C7F7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Ukoliko Korisnik kojemu je dodijeljena potpora ne koristi dodijeljena sredstva namjenski i/ili odustane od odobrenog projekta, a potpora je dodijeljena, TZ Kvarnera će pokrenuti postupak povrata cijelog iznosa potpore, uvećanog za iznos referentne kamate, za razdoblje od trenutka dodjele potpore (datum potpisa Ugovora o dodjeli potpore) pa sve </w:t>
      </w:r>
      <w:r w:rsidRPr="008D23F4">
        <w:rPr>
          <w:rFonts w:ascii="Verdana" w:hAnsi="Verdana"/>
          <w:sz w:val="20"/>
          <w:szCs w:val="20"/>
        </w:rPr>
        <w:lastRenderedPageBreak/>
        <w:t xml:space="preserve">dok Korisnik u potpunosti ne vrati potporu. Povrat potpore TZ Kvarnera će urediti u ugovoru s Korisnikom. </w:t>
      </w:r>
    </w:p>
    <w:p w:rsidR="00883F81" w:rsidRPr="008D23F4" w:rsidRDefault="00883F81" w:rsidP="004C7F7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>Obveze TZ Kvarnera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13.</w:t>
      </w: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TZ Kvarnera je dužna: </w:t>
      </w:r>
    </w:p>
    <w:p w:rsidR="00497FBA" w:rsidRPr="008D23F4" w:rsidRDefault="00497FBA" w:rsidP="004C7F76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pismeno obavijestiti Korisnika o predviđenom iznosu potpore izraženom u obliku bruto novčane protuvrijednosti potpore kao i o tome da mu je dodijeljena potpora male vrijednosti (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Pr="008D23F4">
        <w:rPr>
          <w:rFonts w:ascii="Verdana" w:hAnsi="Verdana"/>
          <w:sz w:val="20"/>
          <w:szCs w:val="20"/>
        </w:rPr>
        <w:t xml:space="preserve">), sve pozivajući se na Uredbu komisije. 1407/2013, </w:t>
      </w:r>
    </w:p>
    <w:p w:rsidR="00497FBA" w:rsidRPr="008D23F4" w:rsidRDefault="00497FBA" w:rsidP="004C7F76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voditi evidenciju dodijeljenih potpora male vrijednosti, </w:t>
      </w:r>
    </w:p>
    <w:p w:rsidR="00497FBA" w:rsidRPr="008D23F4" w:rsidRDefault="00497FBA" w:rsidP="004C7F76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godišnje dostaviti Ministarstvu financija podatke o dodijeljenim potporama male vrijednosti na propisanim obrascima do 30. travnja tekuće godine za prethodnu godinu, a po potrebi i na zahtjev Ministarstva financija u za to određenom roku, </w:t>
      </w:r>
    </w:p>
    <w:p w:rsidR="00497FBA" w:rsidRPr="008D23F4" w:rsidRDefault="00497FBA" w:rsidP="004C7F76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analizirati učinkovitost dodijeljenih potpora male vrijednosti i o tome obaviještavati Ministarstvo financija i </w:t>
      </w:r>
    </w:p>
    <w:p w:rsidR="00497FBA" w:rsidRPr="008D23F4" w:rsidRDefault="00497FBA" w:rsidP="004C7F76">
      <w:pPr>
        <w:pStyle w:val="Default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čuvati podatke o dodijeljenim potporama male vrijednosti deset godina od dana dodjele, sve sukladno posebnom propisu.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F37EE4" w:rsidRPr="008D23F4" w:rsidRDefault="00F37EE4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Predmet Javnog poziva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14.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Temeljem ovog Programa TZ Kvarnera će objaviti Javni poziv za dodjelu potpora za mjere iz članka 3. ovog Programa. </w:t>
      </w:r>
    </w:p>
    <w:p w:rsidR="004C7F76" w:rsidRPr="008D23F4" w:rsidRDefault="004C7F76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Prijava na Javni poziv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15.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TZ Kvarnera raspisuje Javni poziv(e) za dodjelu potpore za 2019. godinu nakon stupanja na snagu ovoga Programa. </w:t>
      </w:r>
    </w:p>
    <w:p w:rsidR="00A5369A" w:rsidRPr="008D23F4" w:rsidRDefault="00A5369A" w:rsidP="004C7F7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Javni poziv se objavljuje na službenim web-stranicama TZ Kvarnera. </w:t>
      </w:r>
    </w:p>
    <w:p w:rsidR="00A5369A" w:rsidRPr="008D23F4" w:rsidRDefault="00A5369A" w:rsidP="004C7F7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Javnim pozivom se naročito određuje sljedeće: </w:t>
      </w:r>
    </w:p>
    <w:p w:rsidR="00497FBA" w:rsidRPr="008D23F4" w:rsidRDefault="00497FBA" w:rsidP="00A5369A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predmet Javnog poziva, </w:t>
      </w:r>
    </w:p>
    <w:p w:rsidR="00A5369A" w:rsidRPr="008D23F4" w:rsidRDefault="00A5369A" w:rsidP="00A5369A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dokumentacija koja čini Prijavu,</w:t>
      </w:r>
    </w:p>
    <w:p w:rsidR="00A5369A" w:rsidRPr="008D23F4" w:rsidRDefault="00A5369A" w:rsidP="00A5369A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posebni uvjeti koje korisnici moraju zadovoljavati po pojedinoj mjeri,</w:t>
      </w:r>
    </w:p>
    <w:p w:rsidR="00A5369A" w:rsidRPr="008D23F4" w:rsidRDefault="00A5369A" w:rsidP="00A5369A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prihvatljivi i neprihvatljivi troškovi,</w:t>
      </w:r>
    </w:p>
    <w:p w:rsidR="00A5369A" w:rsidRPr="008D23F4" w:rsidRDefault="00A5369A" w:rsidP="00A5369A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rokovi</w:t>
      </w:r>
      <w:r w:rsidR="00D602DD">
        <w:rPr>
          <w:rFonts w:ascii="Verdana" w:hAnsi="Verdana"/>
          <w:sz w:val="20"/>
          <w:szCs w:val="20"/>
        </w:rPr>
        <w:t xml:space="preserve"> i</w:t>
      </w:r>
      <w:r w:rsidRPr="008D23F4">
        <w:rPr>
          <w:rFonts w:ascii="Verdana" w:hAnsi="Verdana"/>
          <w:sz w:val="20"/>
          <w:szCs w:val="20"/>
        </w:rPr>
        <w:t xml:space="preserve"> način za podnošenje Prijava,</w:t>
      </w:r>
    </w:p>
    <w:p w:rsidR="00A5369A" w:rsidRPr="008D23F4" w:rsidRDefault="00A5369A" w:rsidP="00A5369A">
      <w:pPr>
        <w:pStyle w:val="Defaul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način isplate potpore.</w:t>
      </w:r>
    </w:p>
    <w:p w:rsidR="00A5369A" w:rsidRPr="008D23F4" w:rsidRDefault="00A5369A" w:rsidP="004C7F7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Prijava se podnosi na temelju Javnog poziva. </w:t>
      </w:r>
    </w:p>
    <w:p w:rsidR="00A5369A" w:rsidRPr="008D23F4" w:rsidRDefault="00A5369A" w:rsidP="004C7F7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4C7F7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Prijave se podnose na obrascima koji se nalaze u prilogu Javnog poziva i njegov su sastavni dio, zajedno s propisanom dokumentacijom</w:t>
      </w:r>
      <w:r w:rsidRPr="00101F40">
        <w:rPr>
          <w:rFonts w:ascii="Verdana" w:hAnsi="Verdana"/>
          <w:color w:val="FF0000"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>u tiskanom obliku,</w:t>
      </w:r>
      <w:r w:rsidR="00710B2C">
        <w:rPr>
          <w:rFonts w:ascii="Verdana" w:hAnsi="Verdana"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na adresu objavljenu u Javnom pozivu.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Dokumentacija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16.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Osim izjava predviđenih u člancima 7. i 9. ovog Programa, TZ Kvarnera će za svaku od predviđenih mjera iz članka 3. ovog Programa, propisati koju dokumentaciju podnositelji/potencijalni Korisnici moraju dostaviti prilikom podnošenja Prijave odnosno zahtjeva za dodjelu potpore. </w:t>
      </w:r>
    </w:p>
    <w:p w:rsidR="00A5369A" w:rsidRPr="008D23F4" w:rsidRDefault="00A5369A" w:rsidP="00A5369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Neće se razmatrati Prijave podnositelja u sljedećim slučajevima: </w:t>
      </w:r>
    </w:p>
    <w:p w:rsidR="00497FBA" w:rsidRPr="008D23F4" w:rsidRDefault="00497FBA" w:rsidP="00A5369A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lastRenderedPageBreak/>
        <w:t xml:space="preserve">podaci se ne odnose na mjere iz članka 3. Programa ili ako su nevjerodostojni, </w:t>
      </w:r>
    </w:p>
    <w:p w:rsidR="00497FBA" w:rsidRPr="008D23F4" w:rsidRDefault="00497FBA" w:rsidP="00A5369A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ako je prijava poslana samo elektroničkom poštom, </w:t>
      </w:r>
    </w:p>
    <w:p w:rsidR="00497FBA" w:rsidRPr="008D23F4" w:rsidRDefault="00497FBA" w:rsidP="00A5369A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projekti koji nisu sukladni s postojećom prostorno planskom dokumentacijom i/ili drugim važećim propisima, </w:t>
      </w:r>
    </w:p>
    <w:p w:rsidR="00497FBA" w:rsidRPr="008D23F4" w:rsidRDefault="00497FBA" w:rsidP="00A5369A">
      <w:pPr>
        <w:pStyle w:val="Default"/>
        <w:numPr>
          <w:ilvl w:val="0"/>
          <w:numId w:val="5"/>
        </w:numPr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nisu izvršene zakonske i ugovorne obveze prema TZ Kvarnera, HTZ-u i Ministarstvu turizma ili su nenamjenski iskoristili prethodnu dodijeljenu potporu, </w:t>
      </w:r>
    </w:p>
    <w:p w:rsidR="00497FBA" w:rsidRPr="008D23F4" w:rsidRDefault="00497FBA" w:rsidP="00A5369A">
      <w:pPr>
        <w:pStyle w:val="Defaul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ako je prijava zaprimljena nakon propisanog roka.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Obrada Prijava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17.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Obradu Prijava obavlja </w:t>
      </w:r>
      <w:r w:rsidR="0092069B" w:rsidRPr="008D23F4">
        <w:rPr>
          <w:rFonts w:ascii="Verdana" w:hAnsi="Verdana"/>
          <w:color w:val="auto"/>
          <w:sz w:val="20"/>
          <w:szCs w:val="20"/>
        </w:rPr>
        <w:t>Povjerenstvo</w:t>
      </w:r>
      <w:r w:rsidRPr="008D23F4">
        <w:rPr>
          <w:rFonts w:ascii="Verdana" w:hAnsi="Verdana"/>
          <w:color w:val="auto"/>
          <w:sz w:val="20"/>
          <w:szCs w:val="20"/>
        </w:rPr>
        <w:t xml:space="preserve"> TZ Kvarnera.</w:t>
      </w:r>
    </w:p>
    <w:p w:rsidR="00497FBA" w:rsidRPr="008D23F4" w:rsidRDefault="00497FBA" w:rsidP="00A5369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Prilikom obrade Prijava utvrđuje se pravovremenost, potpunost i udovoljavanje Prijave uvjetima propisanim ovim Programom i Javnim pozivom. </w:t>
      </w:r>
    </w:p>
    <w:p w:rsidR="00A5369A" w:rsidRPr="008D23F4" w:rsidRDefault="00A5369A" w:rsidP="00A5369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Ukoliko je Prijava pravodobno podnesena, ali se utvrdi da neki podaci nedostaju, TZ Kvarnera može izdati Zahtjev za dopunu kojim se od podnositelja traži dostavljanje </w:t>
      </w:r>
      <w:r w:rsidRPr="008D23F4">
        <w:rPr>
          <w:rFonts w:ascii="Verdana" w:hAnsi="Verdana"/>
          <w:color w:val="auto"/>
          <w:sz w:val="20"/>
          <w:szCs w:val="20"/>
        </w:rPr>
        <w:t xml:space="preserve">dodatnih podataka ili ispravak potrebnih podataka. </w:t>
      </w:r>
    </w:p>
    <w:p w:rsidR="00A5369A" w:rsidRPr="008D23F4" w:rsidRDefault="00A5369A" w:rsidP="00A5369A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Podnositelj je dužan dostaviti dopunu preporučenom poštom s povratnicom u roku od pet dana od dana zaprimanja Zahtjeva za dopunu. </w:t>
      </w:r>
    </w:p>
    <w:p w:rsidR="00A5369A" w:rsidRPr="008D23F4" w:rsidRDefault="00A5369A" w:rsidP="00A5369A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Potpune i pravovremeno dopunjene Prijave ulaze u daljnju obradu. </w:t>
      </w:r>
    </w:p>
    <w:p w:rsidR="00A5369A" w:rsidRPr="008D23F4" w:rsidRDefault="00A5369A" w:rsidP="00A5369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Nakon obrade svake pristigle Prijave, u slučaju potrebe za rangiranjem, utvrdit će se rang − lista Prijava, u padajućem nizu, sukladno kriterijima određenim u prilozima za svaku pojedinu mjeru. TZ Kvarnera će s obzirom na raspoloživa sredstva i utvrđenoj rang listi utvrditi koji poduzetnici imaju pravo na dobivanje potpore. </w:t>
      </w:r>
    </w:p>
    <w:p w:rsidR="00A5369A" w:rsidRPr="008D23F4" w:rsidRDefault="00A5369A" w:rsidP="00A5369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Prilikom obrade Prijava, TZ Kvarnera provjerava i dostupne podatke potrebne za donošenje konačne odluke o dodjeli potpore od drugih javnih tijela koja vode službenu evidenciju sukladno posebnim propisima.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Donošenje odluka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18.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Nakon obrade Prijave, Turističko vijeće TZ Kvarnera donosi: </w:t>
      </w:r>
    </w:p>
    <w:p w:rsidR="00497FBA" w:rsidRPr="008D23F4" w:rsidRDefault="00497FBA" w:rsidP="00A5369A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Odluku o dodjeli </w:t>
      </w:r>
      <w:r w:rsidRPr="008D23F4">
        <w:rPr>
          <w:rFonts w:ascii="Verdana" w:hAnsi="Verdana"/>
          <w:i/>
          <w:iCs/>
          <w:sz w:val="20"/>
          <w:szCs w:val="20"/>
        </w:rPr>
        <w:t>de minimis</w:t>
      </w:r>
      <w:r w:rsidR="00A5369A" w:rsidRPr="008D23F4">
        <w:rPr>
          <w:rFonts w:ascii="Verdana" w:hAnsi="Verdana"/>
          <w:i/>
          <w:iCs/>
          <w:sz w:val="20"/>
          <w:szCs w:val="20"/>
        </w:rPr>
        <w:t xml:space="preserve"> </w:t>
      </w:r>
      <w:r w:rsidRPr="008D23F4">
        <w:rPr>
          <w:rFonts w:ascii="Verdana" w:hAnsi="Verdana"/>
          <w:sz w:val="20"/>
          <w:szCs w:val="20"/>
        </w:rPr>
        <w:t xml:space="preserve">potpore ili </w:t>
      </w:r>
    </w:p>
    <w:p w:rsidR="00A5369A" w:rsidRPr="008D23F4" w:rsidRDefault="00A5369A" w:rsidP="00A5369A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Odluku o odbijanju Prijave.</w:t>
      </w:r>
    </w:p>
    <w:p w:rsidR="0092069B" w:rsidRPr="008D23F4" w:rsidRDefault="0092069B" w:rsidP="00A5369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A5369A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Odluka o odbijanju Prijave donosi se zbog: </w:t>
      </w:r>
    </w:p>
    <w:p w:rsidR="00497FBA" w:rsidRPr="008D23F4" w:rsidRDefault="00497FBA" w:rsidP="00A5369A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neispunjavanja uvjeta i kriterija propisanih ovim Programom i Javnim pozivom; </w:t>
      </w:r>
    </w:p>
    <w:p w:rsidR="00A5369A" w:rsidRPr="008D23F4" w:rsidRDefault="00A5369A" w:rsidP="00A5369A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nevjerodostojnih podataka u Prijavi od strane podnositelja;</w:t>
      </w:r>
    </w:p>
    <w:p w:rsidR="00A5369A" w:rsidRPr="008D23F4" w:rsidRDefault="00A5369A" w:rsidP="00A5369A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nepravovremeno podnesenih Prijava i nepravodobno i nepotpuno dopunjenih Prijava;</w:t>
      </w:r>
    </w:p>
    <w:p w:rsidR="00A5369A" w:rsidRPr="008D23F4" w:rsidRDefault="00A5369A" w:rsidP="00A5369A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nepodmirenog duga prema državi/HTZ-u</w:t>
      </w:r>
      <w:r w:rsidR="00132C66" w:rsidRPr="008D23F4">
        <w:rPr>
          <w:rFonts w:ascii="Verdana" w:hAnsi="Verdana"/>
          <w:sz w:val="20"/>
          <w:szCs w:val="20"/>
        </w:rPr>
        <w:t xml:space="preserve"> i</w:t>
      </w:r>
      <w:r w:rsidRPr="008D23F4">
        <w:rPr>
          <w:rFonts w:ascii="Verdana" w:hAnsi="Verdana"/>
          <w:sz w:val="20"/>
          <w:szCs w:val="20"/>
        </w:rPr>
        <w:t xml:space="preserve"> TZ Kvarnera za poreze, doprinose, pristojbe, članarine i slično.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Odobrenje potpore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19.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Potpore sukladno ovom Programu, TZ Kvarnera će dodjeljivati na temelju utvrđenih rokova iz Javnog poziva.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Nakon odobrenja potpore, TZ Kvarnera će s Korisnikom sklopiti Ugovor o dodjeli potpore (dalje: Ugovor) u kojemu će biti uređeni uvjeti koje Korisnik mora ispuniti s ciljem dodjele potpore.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TZ Kvarnera će izvršiti isplatu potpore nakon što konačno utvrdi da su ispunjeni svi uvjeti za dodjelu potpore sukladno ovom Programu. 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Sklapanje Ugovora o dodjeli potpore </w:t>
      </w:r>
    </w:p>
    <w:p w:rsidR="00132C66" w:rsidRPr="008D23F4" w:rsidRDefault="00132C66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20.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Nakon donošenja Odluke o dodjeli potpore, TZ Kvarnera i podnositelj sklapaju Ugovor kojim se uređuju međusobna prava i obveze.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Korisnik potpore je dužan u roku od deset dana od dana primitka Ugovora, TZ Kvarnera dostaviti dva potpisana primjerka Ugovora pošiljkom ili osobno. Ukoliko korisnik ne dostavi Ugovor, u navedenom roku smatrat će se da je odustao od sklapanja Ugovora te će se Odluka o dodjeli potpore poništiti.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Ugovorom se naročito uređuje: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točan udio i visina odobrene potpore;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namjena dodijeljene potpore;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način isplate potpore;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obveza čuvanja dokumentacije koja se odnosi na predmet potpore sljedećih deset godina od datuma konačne isplate potpore;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obveza, način i rokovi postupanja s predmetom potpore;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način i postupak izvještavanja;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obveza Korisnika da dopusti u svakom trenutku nesmetan pristup i kontrolu TZ Kvarnera o namjenskom korištenju potpore;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postupanje u slučaju nastupanja nepredviđenih okolnosti tijekom izvršenja Ugovora;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povrat dodijeljene potpore;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odredbe o raskidu Ugovora; </w:t>
      </w:r>
    </w:p>
    <w:p w:rsidR="00497FBA" w:rsidRPr="008D23F4" w:rsidRDefault="00497FBA" w:rsidP="00132C66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nadležni sud u slučaju spora.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C00000"/>
          <w:sz w:val="20"/>
          <w:szCs w:val="20"/>
        </w:rPr>
      </w:pPr>
    </w:p>
    <w:p w:rsidR="001E381C" w:rsidRPr="008D23F4" w:rsidRDefault="001E381C" w:rsidP="00497FBA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b/>
          <w:bCs/>
          <w:color w:val="auto"/>
          <w:sz w:val="20"/>
          <w:szCs w:val="20"/>
        </w:rPr>
        <w:t xml:space="preserve">Odobrenje promjena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>Članak 21.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Ukoliko postoje opravdani razlozi, tijekom provedbe Ugovora moguće je napraviti izmjene koje se mogu odnositi samo na rok izvršenja projekta.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Opravdani razlozi za odobrenje promjena su isključivo sljedeći: </w:t>
      </w:r>
    </w:p>
    <w:p w:rsidR="00497FBA" w:rsidRPr="008D23F4" w:rsidRDefault="00497FBA" w:rsidP="00132C66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viša sila, </w:t>
      </w:r>
    </w:p>
    <w:p w:rsidR="00497FBA" w:rsidRPr="008D23F4" w:rsidRDefault="00497FBA" w:rsidP="00132C66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promjene nastale kao posljedica potrebe za </w:t>
      </w:r>
      <w:r w:rsidR="00132C66" w:rsidRPr="008D23F4">
        <w:rPr>
          <w:rFonts w:ascii="Verdana" w:hAnsi="Verdana"/>
          <w:color w:val="auto"/>
          <w:sz w:val="20"/>
          <w:szCs w:val="20"/>
        </w:rPr>
        <w:t>usklađivanjem sa zakonodavstvom.</w:t>
      </w:r>
      <w:r w:rsidRPr="008D23F4">
        <w:rPr>
          <w:rFonts w:ascii="Verdana" w:hAnsi="Verdana"/>
          <w:color w:val="auto"/>
          <w:sz w:val="20"/>
          <w:szCs w:val="20"/>
        </w:rPr>
        <w:t xml:space="preserve">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U slučaju potrebe za izmjenom iz stavka 1. ovog članka Korisnik je obvezan zatražiti odobrenje promjena, uz dostavu odgovarajuće dokumentacije koja potvrđuje postojanje opravdanih razloga, u roku od najviše 30 dana od dana pojave događaja koji je izazvao promjene.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Odobrenjem promjena ne može se mijenjati ukupno odobren iznos potpore korisniku.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TZ Kvarnera će odobriti promjene koje su opravdane te će izvijestiti Korisnika. Korisnik može započeti s izvršenjem projekta s promjenama po zaprimanju odobrenja promjena.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Ukoliko promjene nisu opravdane, TZ Kvarnera će odbiti zahtjev za odobrenje promjena o čemu će izvijestiti korisnika.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lastRenderedPageBreak/>
        <w:t xml:space="preserve">Ukoliko se kontrolom utvrdi da je Korisnik promjene izvršio bez odobrenja promjena iz stavka 5. ovoga članka, iste će se smatrati neprihvatljivim troškom i TZ Kvarnera će zatražiti povrat cjelokupnog iznosa potpore. </w:t>
      </w:r>
    </w:p>
    <w:p w:rsidR="00F37EE4" w:rsidRPr="008D23F4" w:rsidRDefault="00F37EE4" w:rsidP="00497FB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883F81" w:rsidRDefault="00883F81" w:rsidP="00F37EE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97FBA" w:rsidRPr="008D23F4" w:rsidRDefault="00497FBA" w:rsidP="00F37EE4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Isplata i povrat potpore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22.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Potpora se isplaćuje na račun Korisnika, a sukladno odredbama Ugovora.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TZ Kvarnera će Odlukom o povratu potpore od Korisnika zahtijevati povrat u slučaju: </w:t>
      </w:r>
    </w:p>
    <w:p w:rsidR="00497FBA" w:rsidRPr="008D23F4" w:rsidRDefault="00497FBA" w:rsidP="00132C66">
      <w:pPr>
        <w:pStyle w:val="Default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ukoliko se utvrdi da je Korisnik nezakonito ostvario potporu; </w:t>
      </w:r>
    </w:p>
    <w:p w:rsidR="00497FBA" w:rsidRPr="008D23F4" w:rsidRDefault="00497FBA" w:rsidP="00132C66">
      <w:pPr>
        <w:pStyle w:val="Default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korištenja potpore na način koji nije u skladu s njegovom namjenom; </w:t>
      </w:r>
    </w:p>
    <w:p w:rsidR="00497FBA" w:rsidRPr="008D23F4" w:rsidRDefault="00497FBA" w:rsidP="00132C66">
      <w:pPr>
        <w:pStyle w:val="Default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raskidanja Ugovora;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 xml:space="preserve">Korisnik je dužan isplaćenu potporu uvećanu za iznos referentne stope + 100 baznih bodova vratiti na način i u roku određenim u Odluci o povratu potpore. </w:t>
      </w:r>
    </w:p>
    <w:p w:rsidR="00497FBA" w:rsidRPr="008D23F4" w:rsidRDefault="00497FBA" w:rsidP="00497FB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Odlučivanje o prigovorima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23.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Na donesene Odluke temeljem ovog Programa/Javnog poziva, podnositelj Prijave ili Korisnik potpore može uložiti prigovor TZ Kvarnera u roku od petnaest dana od dana primitka Odluke.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TZ Kvarnera će se o zaprimljenim prigovorima očitovati u roku od petnaest dana od dana zaprimanja prigovora.</w:t>
      </w: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</w:p>
    <w:p w:rsidR="00497FBA" w:rsidRPr="008D23F4" w:rsidRDefault="00497FBA" w:rsidP="00497FBA">
      <w:pPr>
        <w:pStyle w:val="Default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b/>
          <w:bCs/>
          <w:sz w:val="20"/>
          <w:szCs w:val="20"/>
        </w:rPr>
        <w:t xml:space="preserve">Završne odredbe 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>Članak 25.</w:t>
      </w:r>
    </w:p>
    <w:p w:rsidR="00497FBA" w:rsidRPr="008D23F4" w:rsidRDefault="00497FBA" w:rsidP="00497FB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Program stupa na snagu danom donošenja. </w:t>
      </w:r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Program se objavljuje na mrežnim stranicama TZ Kvarnera, </w:t>
      </w:r>
      <w:hyperlink r:id="rId6" w:history="1">
        <w:r w:rsidRPr="008D23F4">
          <w:rPr>
            <w:rStyle w:val="Hyperlink"/>
            <w:rFonts w:ascii="Verdana" w:hAnsi="Verdana"/>
            <w:sz w:val="20"/>
            <w:szCs w:val="20"/>
          </w:rPr>
          <w:t>www.kvarner.hr</w:t>
        </w:r>
      </w:hyperlink>
    </w:p>
    <w:p w:rsidR="00132C66" w:rsidRPr="008D23F4" w:rsidRDefault="00132C66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D23F4" w:rsidRDefault="00497FBA" w:rsidP="00132C66">
      <w:pPr>
        <w:pStyle w:val="Default"/>
        <w:jc w:val="both"/>
        <w:rPr>
          <w:rFonts w:ascii="Verdana" w:hAnsi="Verdana"/>
          <w:sz w:val="20"/>
          <w:szCs w:val="20"/>
        </w:rPr>
      </w:pPr>
      <w:r w:rsidRPr="008D23F4">
        <w:rPr>
          <w:rFonts w:ascii="Verdana" w:hAnsi="Verdana"/>
          <w:sz w:val="20"/>
          <w:szCs w:val="20"/>
        </w:rPr>
        <w:t xml:space="preserve">TZ Kvarnera na svojim mrežnim stranicama objavljuje i nazive poduzetnika i iznose potpora koje su poduzetnici dobili po pojedinom raspisanom Javnom pozivu. </w:t>
      </w:r>
    </w:p>
    <w:p w:rsidR="008027D0" w:rsidRPr="008D23F4" w:rsidRDefault="008027D0" w:rsidP="00132C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97FBA" w:rsidRPr="008027D0" w:rsidRDefault="00497FBA" w:rsidP="00132C6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8D23F4">
        <w:rPr>
          <w:rFonts w:ascii="Verdana" w:hAnsi="Verdana"/>
          <w:color w:val="auto"/>
          <w:sz w:val="20"/>
          <w:szCs w:val="20"/>
        </w:rPr>
        <w:t>Zapise o dodjeljenim potporama po ovom Programu, TZ Kvarnera je u obvezi čuvati 10 (deset) godina od datuma kada je dodijeljena posljednja pojedinačna potpora odnosno do kraja 2029.</w:t>
      </w:r>
      <w:r w:rsidRPr="008027D0">
        <w:rPr>
          <w:rFonts w:ascii="Verdana" w:hAnsi="Verdana"/>
          <w:color w:val="auto"/>
          <w:sz w:val="20"/>
          <w:szCs w:val="20"/>
        </w:rPr>
        <w:t xml:space="preserve"> </w:t>
      </w:r>
    </w:p>
    <w:p w:rsidR="00497FBA" w:rsidRPr="008027D0" w:rsidRDefault="00497FBA" w:rsidP="00132C66">
      <w:pPr>
        <w:jc w:val="both"/>
        <w:rPr>
          <w:rFonts w:ascii="Verdana" w:hAnsi="Verdana"/>
          <w:sz w:val="20"/>
          <w:szCs w:val="20"/>
        </w:rPr>
      </w:pPr>
    </w:p>
    <w:p w:rsidR="00AD1EDA" w:rsidRDefault="00AD1EDA" w:rsidP="00497FBA"/>
    <w:p w:rsidR="002E2EEF" w:rsidRDefault="002E2EEF" w:rsidP="00497FBA"/>
    <w:p w:rsidR="002E2EEF" w:rsidRDefault="002E2EEF" w:rsidP="00497FBA"/>
    <w:p w:rsidR="002E2EEF" w:rsidRDefault="002E2EEF" w:rsidP="00497FBA"/>
    <w:p w:rsidR="002E2EEF" w:rsidRDefault="002E2EEF" w:rsidP="00497FBA"/>
    <w:p w:rsidR="002E2EEF" w:rsidRDefault="002E2EEF" w:rsidP="00497FBA"/>
    <w:p w:rsidR="002E2EEF" w:rsidRDefault="002E2EEF" w:rsidP="00497FBA"/>
    <w:p w:rsidR="002E2EEF" w:rsidRDefault="002E2EEF" w:rsidP="00497FBA"/>
    <w:p w:rsidR="002E2EEF" w:rsidRDefault="002E2EEF" w:rsidP="00497FBA"/>
    <w:p w:rsidR="002E2EEF" w:rsidRDefault="002E2EEF" w:rsidP="00497FBA"/>
    <w:p w:rsidR="002E2EEF" w:rsidRDefault="002E2EEF" w:rsidP="00497FBA"/>
    <w:sectPr w:rsidR="002E2EEF" w:rsidSect="00E7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61C"/>
    <w:multiLevelType w:val="hybridMultilevel"/>
    <w:tmpl w:val="7FC66D5A"/>
    <w:lvl w:ilvl="0" w:tplc="11FEAFA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C9C"/>
    <w:multiLevelType w:val="hybridMultilevel"/>
    <w:tmpl w:val="1B701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7B4C57"/>
    <w:multiLevelType w:val="hybridMultilevel"/>
    <w:tmpl w:val="023888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178C"/>
    <w:multiLevelType w:val="hybridMultilevel"/>
    <w:tmpl w:val="F0B85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209B"/>
    <w:multiLevelType w:val="hybridMultilevel"/>
    <w:tmpl w:val="14D223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61555"/>
    <w:multiLevelType w:val="hybridMultilevel"/>
    <w:tmpl w:val="F4A88270"/>
    <w:lvl w:ilvl="0" w:tplc="11FEAFA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8284D"/>
    <w:multiLevelType w:val="hybridMultilevel"/>
    <w:tmpl w:val="FA342934"/>
    <w:lvl w:ilvl="0" w:tplc="BA4A19E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2BEA"/>
    <w:multiLevelType w:val="hybridMultilevel"/>
    <w:tmpl w:val="D7E06BFC"/>
    <w:lvl w:ilvl="0" w:tplc="11FEAFA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C74EE"/>
    <w:multiLevelType w:val="hybridMultilevel"/>
    <w:tmpl w:val="FA342934"/>
    <w:lvl w:ilvl="0" w:tplc="BA4A19E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A471D"/>
    <w:multiLevelType w:val="hybridMultilevel"/>
    <w:tmpl w:val="57E0BF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72750"/>
    <w:multiLevelType w:val="hybridMultilevel"/>
    <w:tmpl w:val="8206A8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53F"/>
    <w:multiLevelType w:val="hybridMultilevel"/>
    <w:tmpl w:val="A20AC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2890"/>
    <w:multiLevelType w:val="hybridMultilevel"/>
    <w:tmpl w:val="21A2A4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3546"/>
    <w:multiLevelType w:val="hybridMultilevel"/>
    <w:tmpl w:val="72B4C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F420C"/>
    <w:multiLevelType w:val="hybridMultilevel"/>
    <w:tmpl w:val="07BC3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C6862"/>
    <w:multiLevelType w:val="hybridMultilevel"/>
    <w:tmpl w:val="98DCA1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D1A39"/>
    <w:multiLevelType w:val="hybridMultilevel"/>
    <w:tmpl w:val="ADAE81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00E03"/>
    <w:multiLevelType w:val="hybridMultilevel"/>
    <w:tmpl w:val="99CCB2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A"/>
    <w:rsid w:val="00076F9E"/>
    <w:rsid w:val="00096AD5"/>
    <w:rsid w:val="00101F40"/>
    <w:rsid w:val="00132C66"/>
    <w:rsid w:val="001D0DDF"/>
    <w:rsid w:val="001E381C"/>
    <w:rsid w:val="0025236B"/>
    <w:rsid w:val="002E2EEF"/>
    <w:rsid w:val="002E38D0"/>
    <w:rsid w:val="00302278"/>
    <w:rsid w:val="00415E69"/>
    <w:rsid w:val="00467ABB"/>
    <w:rsid w:val="00497FBA"/>
    <w:rsid w:val="004C7F76"/>
    <w:rsid w:val="00573C13"/>
    <w:rsid w:val="005859A7"/>
    <w:rsid w:val="00625839"/>
    <w:rsid w:val="00710B2C"/>
    <w:rsid w:val="008027D0"/>
    <w:rsid w:val="00862D8C"/>
    <w:rsid w:val="00883F81"/>
    <w:rsid w:val="008D23F4"/>
    <w:rsid w:val="008E114A"/>
    <w:rsid w:val="00916FD4"/>
    <w:rsid w:val="0092069B"/>
    <w:rsid w:val="00960F48"/>
    <w:rsid w:val="00983DC4"/>
    <w:rsid w:val="00A13BD1"/>
    <w:rsid w:val="00A5369A"/>
    <w:rsid w:val="00A91B0A"/>
    <w:rsid w:val="00AC300B"/>
    <w:rsid w:val="00AD1EDA"/>
    <w:rsid w:val="00BF3663"/>
    <w:rsid w:val="00C7757F"/>
    <w:rsid w:val="00CF48FA"/>
    <w:rsid w:val="00D565CF"/>
    <w:rsid w:val="00D602DD"/>
    <w:rsid w:val="00D6312E"/>
    <w:rsid w:val="00DD3FEB"/>
    <w:rsid w:val="00E03EE6"/>
    <w:rsid w:val="00E1769B"/>
    <w:rsid w:val="00E254B2"/>
    <w:rsid w:val="00E704D8"/>
    <w:rsid w:val="00E974FB"/>
    <w:rsid w:val="00ED330F"/>
    <w:rsid w:val="00EF74F1"/>
    <w:rsid w:val="00F37EE4"/>
    <w:rsid w:val="00F7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7208"/>
  <w15:docId w15:val="{A76BB977-BF20-4072-9043-8612F99B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602D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602DD"/>
    <w:rPr>
      <w:rFonts w:ascii="Arial" w:eastAsia="Times New Roman" w:hAnsi="Arial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varne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CA32-9C2E-4178-B298-97CB4947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Mogorović</dc:creator>
  <cp:lastModifiedBy>Vlasta Mastrović</cp:lastModifiedBy>
  <cp:revision>4</cp:revision>
  <cp:lastPrinted>2019-06-04T14:17:00Z</cp:lastPrinted>
  <dcterms:created xsi:type="dcterms:W3CDTF">2019-06-11T07:55:00Z</dcterms:created>
  <dcterms:modified xsi:type="dcterms:W3CDTF">2019-06-13T10:38:00Z</dcterms:modified>
</cp:coreProperties>
</file>